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23" w:rsidRDefault="00147D23" w:rsidP="00946AFC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46ACC">
        <w:rPr>
          <w:rFonts w:ascii="Garamond" w:eastAsia="Times New Roman" w:hAnsi="Garamond" w:cs="Times New Roman"/>
          <w:sz w:val="24"/>
          <w:szCs w:val="24"/>
          <w:lang w:eastAsia="it-IT"/>
        </w:rPr>
        <w:t>Spett.le</w:t>
      </w: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F46ACC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ASST PAPA GIOVANNI XXIII</w:t>
      </w: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46ACC">
        <w:rPr>
          <w:rFonts w:ascii="Garamond" w:eastAsia="Times New Roman" w:hAnsi="Garamond" w:cs="Times New Roman"/>
          <w:sz w:val="24"/>
          <w:szCs w:val="24"/>
          <w:lang w:eastAsia="it-IT"/>
        </w:rPr>
        <w:t>Piazza OMS n. 1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rPr>
          <w:rFonts w:ascii="Garamond" w:eastAsia="Calibri" w:hAnsi="Garamond" w:cs="Times New Roman"/>
          <w:sz w:val="24"/>
          <w:szCs w:val="24"/>
          <w:u w:val="single"/>
          <w:lang w:eastAsia="zh-CN"/>
        </w:rPr>
      </w:pP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ab/>
        <w:t xml:space="preserve">        </w:t>
      </w:r>
      <w:r w:rsidRPr="00F46ACC">
        <w:rPr>
          <w:rFonts w:ascii="Garamond" w:eastAsia="Calibri" w:hAnsi="Garamond" w:cs="Times New Roman"/>
          <w:sz w:val="24"/>
          <w:szCs w:val="24"/>
          <w:u w:val="single"/>
          <w:lang w:eastAsia="zh-CN"/>
        </w:rPr>
        <w:t>24127 – BERGAMO (BG)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</w:p>
    <w:p w:rsidR="00946AFC" w:rsidRPr="00F46ACC" w:rsidRDefault="00946AFC" w:rsidP="00946AFC">
      <w:pPr>
        <w:suppressAutoHyphens/>
        <w:autoSpaceDE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</w:p>
    <w:p w:rsidR="005B1290" w:rsidRDefault="00946AFC" w:rsidP="005B129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OGGETTO: </w:t>
      </w:r>
      <w:r w:rsidR="005B1290" w:rsidRPr="005B1290">
        <w:rPr>
          <w:rFonts w:ascii="Garamond" w:eastAsia="Calibri" w:hAnsi="Garamond" w:cs="Times New Roman"/>
          <w:b/>
          <w:sz w:val="24"/>
          <w:szCs w:val="24"/>
          <w:lang w:eastAsia="zh-CN"/>
        </w:rPr>
        <w:t xml:space="preserve">Procedura concorsuale “aperta” – mediante utilizzo della piattaforma </w:t>
      </w:r>
      <w:proofErr w:type="spellStart"/>
      <w:r w:rsidR="005B1290" w:rsidRPr="005B1290">
        <w:rPr>
          <w:rFonts w:ascii="Garamond" w:eastAsia="Calibri" w:hAnsi="Garamond" w:cs="Times New Roman"/>
          <w:b/>
          <w:sz w:val="24"/>
          <w:szCs w:val="24"/>
          <w:lang w:eastAsia="zh-CN"/>
        </w:rPr>
        <w:t>Sintel</w:t>
      </w:r>
      <w:proofErr w:type="spellEnd"/>
      <w:r w:rsidR="005B1290" w:rsidRPr="005B1290">
        <w:rPr>
          <w:rFonts w:ascii="Garamond" w:eastAsia="Calibri" w:hAnsi="Garamond" w:cs="Times New Roman"/>
          <w:b/>
          <w:sz w:val="24"/>
          <w:szCs w:val="24"/>
          <w:lang w:eastAsia="zh-CN"/>
        </w:rPr>
        <w:t xml:space="preserve"> – per l’affidamento dei servizi di supporto alla farmacia per la gestione e l’automazione della micro logistica dei farmaci e dei dispositivi medici. durata 108 mesi. Lotto unico</w:t>
      </w:r>
    </w:p>
    <w:p w:rsidR="00EF72B9" w:rsidRDefault="00946AFC" w:rsidP="005B129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 xml:space="preserve">CIG: </w:t>
      </w:r>
      <w:r w:rsidR="00BF4212" w:rsidRPr="00BF4212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>97972491A4</w:t>
      </w:r>
      <w:bookmarkStart w:id="0" w:name="_GoBack"/>
      <w:bookmarkEnd w:id="0"/>
      <w:r w:rsidR="00EF72B9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 xml:space="preserve"> </w:t>
      </w:r>
    </w:p>
    <w:p w:rsidR="005B1290" w:rsidRDefault="005B1290" w:rsidP="00946AF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zh-CN"/>
        </w:rPr>
      </w:pPr>
    </w:p>
    <w:p w:rsidR="00946AFC" w:rsidRPr="00F46ACC" w:rsidRDefault="00946AFC" w:rsidP="00946AF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Nomina REFERENTE D’IMPRESA.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 </w:t>
      </w:r>
    </w:p>
    <w:p w:rsidR="00946AFC" w:rsidRPr="00F46ACC" w:rsidRDefault="00946AFC" w:rsidP="00946AFC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:rsidR="00946AFC" w:rsidRPr="00F46ACC" w:rsidRDefault="00946AFC" w:rsidP="00946AFC">
      <w:pPr>
        <w:suppressAutoHyphens/>
        <w:autoSpaceDE w:val="0"/>
        <w:spacing w:after="0" w:line="240" w:lineRule="auto"/>
        <w:ind w:right="-1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Ai sensi e per gli effetti dell'art 76 del DPR 445/2000, consapevole delle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:rsidR="00946AFC" w:rsidRPr="00F46ACC" w:rsidRDefault="00946AFC" w:rsidP="00EF72B9">
      <w:pPr>
        <w:suppressAutoHyphens/>
        <w:autoSpaceDE w:val="0"/>
        <w:spacing w:before="120"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Il sottoscritto ________________________________________________________________________ 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nato a _____________________________________________ il ___________________________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Codice Fiscale _______________________________________________________________________,</w:t>
      </w:r>
    </w:p>
    <w:p w:rsidR="00946AFC" w:rsidRDefault="00946AFC" w:rsidP="00946AFC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in qualità di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jc w:val="both"/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 xml:space="preserve">󠄃 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legale rappresentante </w:t>
      </w:r>
      <w:r w:rsidRPr="00F46ACC"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  <w:t xml:space="preserve">(allegare copia di un documento di riconoscimento in corso di validità) 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jc w:val="both"/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 xml:space="preserve">󠄃 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procuratore del legale rappresentante </w:t>
      </w:r>
      <w:r w:rsidRPr="00F46ACC"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  <w:t xml:space="preserve">(nel caso, allegare copia della procura e copia di un documento di riconoscimento in corso di validità); 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jc w:val="both"/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󠄃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 altro, specificare </w:t>
      </w:r>
      <w:r w:rsidRPr="00F46ACC">
        <w:rPr>
          <w:rFonts w:ascii="Garamond" w:eastAsia="Calibri" w:hAnsi="Garamond" w:cs="Times New Roman"/>
          <w:i/>
          <w:iCs/>
          <w:sz w:val="24"/>
          <w:szCs w:val="24"/>
          <w:lang w:eastAsia="zh-CN"/>
        </w:rPr>
        <w:t>(e allegare copia di un documento di riconoscimento in corso di validità)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dell’Impresa potenzialmente aggiudicataria denominata _______</w:t>
      </w:r>
      <w:r w:rsidR="00EF72B9">
        <w:rPr>
          <w:rFonts w:ascii="Garamond" w:eastAsia="Calibri" w:hAnsi="Garamond" w:cs="Times New Roman"/>
          <w:sz w:val="24"/>
          <w:szCs w:val="24"/>
          <w:lang w:eastAsia="zh-CN"/>
        </w:rPr>
        <w:t>_______________________________</w:t>
      </w: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 xml:space="preserve">con sede legale in ____________________________________________, </w:t>
      </w:r>
    </w:p>
    <w:p w:rsidR="00946AFC" w:rsidRPr="00F46ACC" w:rsidRDefault="00946AFC" w:rsidP="00946AF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Via _____________________________________________</w:t>
      </w:r>
      <w:r w:rsidR="00E3202D">
        <w:rPr>
          <w:rFonts w:ascii="Garamond" w:eastAsia="Calibri" w:hAnsi="Garamond" w:cs="Times New Roman"/>
          <w:sz w:val="24"/>
          <w:szCs w:val="24"/>
          <w:lang w:eastAsia="zh-CN"/>
        </w:rPr>
        <w:t xml:space="preserve"> 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P</w:t>
      </w:r>
      <w:r w:rsidRPr="00F46AC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rov. _____ CAP_______ 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</w:p>
    <w:p w:rsidR="00946AFC" w:rsidRPr="00F46ACC" w:rsidRDefault="00946AFC" w:rsidP="00946AFC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t>NOMINA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Nome __________________________________ Cognome _</w:t>
      </w:r>
      <w:r w:rsidR="00EF72B9">
        <w:rPr>
          <w:rFonts w:ascii="Garamond" w:eastAsia="Calibri" w:hAnsi="Garamond" w:cs="Times New Roman"/>
          <w:sz w:val="24"/>
          <w:szCs w:val="24"/>
          <w:lang w:eastAsia="zh-CN"/>
        </w:rPr>
        <w:t>_______________________________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Codice Fiscale _____________________________________</w:t>
      </w:r>
      <w:r w:rsidR="00EF72B9">
        <w:rPr>
          <w:rFonts w:ascii="Garamond" w:eastAsia="Calibri" w:hAnsi="Garamond" w:cs="Times New Roman"/>
          <w:sz w:val="24"/>
          <w:szCs w:val="24"/>
          <w:lang w:eastAsia="zh-CN"/>
        </w:rPr>
        <w:t>_______________________________</w:t>
      </w:r>
    </w:p>
    <w:p w:rsidR="00946AFC" w:rsidRPr="00F46ACC" w:rsidRDefault="00946AFC" w:rsidP="00946AFC">
      <w:pPr>
        <w:suppressAutoHyphens/>
        <w:autoSpaceDE w:val="0"/>
        <w:spacing w:after="0" w:line="360" w:lineRule="auto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Cs/>
          <w:sz w:val="24"/>
          <w:szCs w:val="24"/>
          <w:lang w:eastAsia="zh-CN"/>
        </w:rPr>
        <w:t>E-</w:t>
      </w:r>
      <w:r w:rsidR="00EF72B9">
        <w:rPr>
          <w:rFonts w:ascii="Garamond" w:eastAsia="Calibri" w:hAnsi="Garamond" w:cs="Times New Roman"/>
          <w:bCs/>
          <w:sz w:val="24"/>
          <w:szCs w:val="24"/>
          <w:lang w:eastAsia="zh-CN"/>
        </w:rPr>
        <w:t>m</w:t>
      </w:r>
      <w:r w:rsidRPr="00F46ACC">
        <w:rPr>
          <w:rFonts w:ascii="Garamond" w:eastAsia="Calibri" w:hAnsi="Garamond" w:cs="Times New Roman"/>
          <w:bCs/>
          <w:sz w:val="24"/>
          <w:szCs w:val="24"/>
          <w:lang w:eastAsia="zh-CN"/>
        </w:rPr>
        <w:t>ail</w:t>
      </w:r>
      <w:r w:rsidRPr="00F46ACC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>____________________________________________________________</w:t>
      </w:r>
      <w:r w:rsidR="00EF72B9"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  <w:t>_______________</w:t>
      </w:r>
    </w:p>
    <w:p w:rsidR="00946AFC" w:rsidRPr="00F46ACC" w:rsidRDefault="00946AFC" w:rsidP="00EF72B9">
      <w:pPr>
        <w:suppressAutoHyphens/>
        <w:autoSpaceDE w:val="0"/>
        <w:spacing w:before="120"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come Referente dell’Impresa, che assumerà tutti gli obblighi relativi alla clausola “T&amp;T – Tracciabilità e Trasparenza”, ai sensi del comma 2 dell’art. 105 del D.Lgs. n. 50/2016 e del comma 1 dell’art. 3 della Legge n. 136/2010, nonché a quanto disposto dalle Linee Guida per la trasparenza e la tracciabilità dei contratti pubblici di lavori, servizi e forniture di cui alla D.G.R. XI/5408 del 25.10.2021 e D.G.R. XI/6605 del 30.06.2022</w:t>
      </w:r>
      <w:r w:rsidR="00D7554D">
        <w:rPr>
          <w:rFonts w:ascii="Garamond" w:eastAsia="Calibri" w:hAnsi="Garamond" w:cs="Times New Roman"/>
          <w:sz w:val="24"/>
          <w:szCs w:val="24"/>
          <w:lang w:eastAsia="zh-CN"/>
        </w:rPr>
        <w:t>, come di seguito riportato</w:t>
      </w: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.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zh-CN"/>
        </w:rPr>
      </w:pPr>
    </w:p>
    <w:p w:rsidR="00946AFC" w:rsidRPr="00F46ACC" w:rsidRDefault="00946AFC" w:rsidP="00946AFC">
      <w:pPr>
        <w:suppressAutoHyphens/>
        <w:autoSpaceDE w:val="0"/>
        <w:spacing w:after="0" w:line="240" w:lineRule="auto"/>
        <w:ind w:left="4820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sz w:val="24"/>
          <w:szCs w:val="24"/>
          <w:lang w:eastAsia="zh-CN"/>
        </w:rPr>
        <w:t>(firma)______________________________</w:t>
      </w:r>
    </w:p>
    <w:p w:rsidR="00946AFC" w:rsidRPr="00F46ACC" w:rsidRDefault="00946AFC" w:rsidP="00946AFC">
      <w:pPr>
        <w:suppressAutoHyphens/>
        <w:autoSpaceDE w:val="0"/>
        <w:spacing w:after="0" w:line="240" w:lineRule="auto"/>
        <w:ind w:left="4820"/>
        <w:rPr>
          <w:rFonts w:ascii="Garamond" w:eastAsia="Calibri" w:hAnsi="Garamond" w:cs="Times New Roman"/>
          <w:sz w:val="24"/>
          <w:szCs w:val="24"/>
          <w:lang w:eastAsia="zh-CN"/>
        </w:rPr>
      </w:pPr>
    </w:p>
    <w:p w:rsidR="00946AFC" w:rsidRPr="00EF72B9" w:rsidRDefault="00946AFC" w:rsidP="00946AFC">
      <w:pPr>
        <w:suppressAutoHyphens/>
        <w:autoSpaceDE w:val="0"/>
        <w:spacing w:after="0" w:line="240" w:lineRule="auto"/>
        <w:ind w:left="4820"/>
        <w:rPr>
          <w:rFonts w:ascii="Garamond" w:eastAsia="Calibri" w:hAnsi="Garamond" w:cs="Times New Roman"/>
          <w:sz w:val="18"/>
          <w:szCs w:val="18"/>
          <w:lang w:eastAsia="zh-CN"/>
        </w:rPr>
      </w:pPr>
      <w:r w:rsidRPr="00EF72B9">
        <w:rPr>
          <w:rFonts w:ascii="Garamond" w:eastAsia="Calibri" w:hAnsi="Garamond" w:cs="Times New Roman"/>
          <w:sz w:val="18"/>
          <w:szCs w:val="18"/>
          <w:lang w:eastAsia="zh-CN"/>
        </w:rPr>
        <w:t>Il presente documento informatico è stato sottoscritto con firma digitale (artt. 20 e 24 del D.Lgs. 82/2005 CAD)</w:t>
      </w:r>
    </w:p>
    <w:p w:rsidR="00EF72B9" w:rsidRPr="00F46ACC" w:rsidRDefault="00EF72B9" w:rsidP="00EF72B9">
      <w:pPr>
        <w:suppressAutoHyphens/>
        <w:autoSpaceDE w:val="0"/>
        <w:spacing w:before="360" w:after="0" w:line="240" w:lineRule="auto"/>
        <w:rPr>
          <w:rFonts w:ascii="Garamond" w:eastAsia="Calibri" w:hAnsi="Garamond" w:cs="Times New Roman"/>
          <w:sz w:val="24"/>
          <w:szCs w:val="24"/>
          <w:lang w:eastAsia="zh-CN"/>
        </w:rPr>
      </w:pPr>
      <w:r w:rsidRPr="00F46ACC">
        <w:rPr>
          <w:rFonts w:ascii="Garamond" w:eastAsia="Calibri" w:hAnsi="Garamond" w:cs="Times New Roman"/>
          <w:b/>
          <w:sz w:val="24"/>
          <w:szCs w:val="24"/>
          <w:lang w:eastAsia="zh-CN"/>
        </w:rPr>
        <w:lastRenderedPageBreak/>
        <w:t>ALLEGATO: Carta d’Identità Referente</w:t>
      </w:r>
    </w:p>
    <w:p w:rsidR="00946AFC" w:rsidRPr="00F46ACC" w:rsidRDefault="00946AFC" w:rsidP="00946AFC">
      <w:pPr>
        <w:tabs>
          <w:tab w:val="left" w:pos="2268"/>
          <w:tab w:val="left" w:pos="4678"/>
        </w:tabs>
        <w:spacing w:after="0" w:line="240" w:lineRule="auto"/>
        <w:jc w:val="both"/>
        <w:rPr>
          <w:rFonts w:ascii="Garamond" w:eastAsia="Cambria" w:hAnsi="Garamond" w:cs="Times New Roman"/>
          <w:sz w:val="24"/>
          <w:szCs w:val="24"/>
        </w:rPr>
      </w:pPr>
    </w:p>
    <w:p w:rsidR="00681387" w:rsidRPr="00B73168" w:rsidRDefault="00681387" w:rsidP="00CA2C1F">
      <w:pPr>
        <w:spacing w:after="120" w:line="240" w:lineRule="auto"/>
        <w:jc w:val="both"/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>NORMA DI CONTRATTO T&amp;T PER LA TRASPARENZA E TRACCIABILITÀ (DGR Lombardia n. XI/5408 del 25/10/2021 e DGR Lombardia n. XI/6605 del 30.06.2022)</w:t>
      </w:r>
    </w:p>
    <w:p w:rsidR="00681387" w:rsidRPr="00B73168" w:rsidRDefault="00681387" w:rsidP="00B73168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  <w:t>Obblighi dell'Aggiudicatario e delle filiere dei subcontraenti</w:t>
      </w:r>
    </w:p>
    <w:p w:rsidR="00681387" w:rsidRPr="00B73168" w:rsidRDefault="00681387" w:rsidP="00CA527E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L'Aggiudicatario del Contratto ed i subcontraenti, a qualunque titolo coinvolti nella esecuzione del contratto, sono tenuti al rispetto della presente norma. Al fine di garantire la tracciabilità e la trasparenza della esecuzione del contratto, l'Aggiudicatario ed i subcontraenti, sono tenuti, nei modi e tempi di seguito specificati, a trasmettere alla Amministrazione aggiudicatrice, per ogni subcontratto affidato, le informazioni di cui al comma 2 dell'articolo 105 del Dlgs 50/2016, quelle di cui al comma 1 dell'articolo 3 della legge 136/2010 di seguito trascritte.</w:t>
      </w:r>
    </w:p>
    <w:p w:rsidR="00681387" w:rsidRPr="00B73168" w:rsidRDefault="00681387" w:rsidP="00B73168">
      <w:pPr>
        <w:spacing w:before="120" w:after="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>Comma 2 art. 105, Dlgs 50/2016</w:t>
      </w:r>
      <w:r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:</w:t>
      </w:r>
      <w:r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 xml:space="preserve"> </w:t>
      </w:r>
      <w:r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&lt;&lt; L'affidatario comunica alla stazione appaltante, prima dell'inizio della prestazione, per tutti i sub-contratti che non sono subappalti, stipulati per l'esecuzione dell'appalto, il nome del sub-contraente, l'importo del subcontratto, l'oggetto del lavoro, servizio o fornitura affidati&gt;&gt;.</w:t>
      </w:r>
    </w:p>
    <w:p w:rsidR="00681387" w:rsidRPr="00B73168" w:rsidRDefault="00681387" w:rsidP="00B73168">
      <w:pPr>
        <w:spacing w:before="120" w:after="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>Comma 1, art.3, l. 136/2010</w:t>
      </w:r>
      <w:r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:</w:t>
      </w:r>
      <w:r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 xml:space="preserve"> </w:t>
      </w:r>
      <w:r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&lt;&lt;Per assicurare la tracciabilità dei flussi finanziari finalizzata a prevenire infiltrazioni criminali, gli appaltatori, i subappaltatori e i subcontraenti della filiera delle imprese nonché i concessionari di finanziamenti pubblici anche europei a qualsiasi titolo interessati ai lavori, ai servizi e alle forniture pubblici devono utilizzare uno o più conti correnti bancari o postali, accesi presso banche o presso la società Poste Italiane Spa, dedicati, anche non in via esclusiva,(…)&gt;&gt;.</w:t>
      </w:r>
    </w:p>
    <w:p w:rsidR="00681387" w:rsidRPr="00B73168" w:rsidRDefault="00681387" w:rsidP="00B73168">
      <w:pPr>
        <w:spacing w:before="120" w:after="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>Comma 5, lettera h, art. 80, D.lgs. 50/2016:</w:t>
      </w:r>
      <w:r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 xml:space="preserve"> </w:t>
      </w:r>
      <w:r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&lt;&lt;Le stazioni appaltanti escludono dalla partecipazione alla procedura d'appalto un operatore economico in una delle seguenti situazioni, anche riferita a un suo subappaltatore nei casi di cui all'articolo 105, comma 6, qualora: (…) h) l'operatore economico abbia violato il divieto di intestazione fiduciaria di cui all'articolo 17 della legge 19 marzo 1990, n. 55&gt;&gt;.</w:t>
      </w:r>
    </w:p>
    <w:p w:rsidR="00CA527E" w:rsidRPr="00B73168" w:rsidRDefault="00CA527E" w:rsidP="00CA527E">
      <w:pPr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</w:p>
    <w:p w:rsidR="00681387" w:rsidRPr="00B73168" w:rsidRDefault="00681387" w:rsidP="00B731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  <w:t>Verifiche dell'Amministrazione aggiudicatrice</w:t>
      </w:r>
    </w:p>
    <w:p w:rsidR="00681387" w:rsidRPr="00B73168" w:rsidRDefault="00681387" w:rsidP="00B7316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L'Amministrazione aggiudicatrice, l'operatore economico Aggiudicatario e gli operatori economici coinvolti a qualsiasi livello della filiera dei subcontratti, sono tenuti al pieno rispetto di quanto previsto dal comma 9 dell'articolo 3 della legge n. 136/2010 e di seguito trascritto.</w:t>
      </w:r>
    </w:p>
    <w:p w:rsidR="00B73168" w:rsidRPr="00B73168" w:rsidRDefault="00CA527E" w:rsidP="00B73168">
      <w:pPr>
        <w:tabs>
          <w:tab w:val="left" w:pos="213"/>
          <w:tab w:val="left" w:pos="1039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10"/>
          <w:szCs w:val="10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ab/>
      </w:r>
      <w:r w:rsidR="00B73168">
        <w:rPr>
          <w:rFonts w:ascii="Garamond" w:eastAsia="Times New Roman" w:hAnsi="Garamond" w:cs="Times New Roman"/>
          <w:sz w:val="18"/>
          <w:szCs w:val="18"/>
          <w:lang w:eastAsia="it-IT"/>
        </w:rPr>
        <w:tab/>
      </w:r>
    </w:p>
    <w:p w:rsidR="00681387" w:rsidRPr="00B73168" w:rsidRDefault="00B73168" w:rsidP="00B73168">
      <w:pPr>
        <w:tabs>
          <w:tab w:val="left" w:pos="284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>
        <w:rPr>
          <w:rFonts w:ascii="Garamond" w:eastAsia="Times New Roman" w:hAnsi="Garamond" w:cs="Times New Roman"/>
          <w:sz w:val="18"/>
          <w:szCs w:val="18"/>
          <w:lang w:eastAsia="it-IT"/>
        </w:rPr>
        <w:tab/>
      </w:r>
      <w:r w:rsidR="00681387" w:rsidRPr="00B73168">
        <w:rPr>
          <w:rFonts w:ascii="Garamond" w:eastAsia="Times New Roman" w:hAnsi="Garamond" w:cs="Times New Roman"/>
          <w:i/>
          <w:iCs/>
          <w:sz w:val="18"/>
          <w:szCs w:val="18"/>
          <w:u w:val="single"/>
          <w:lang w:eastAsia="it-IT"/>
        </w:rPr>
        <w:t>Comma 9, art.3, l. 136/2010:</w:t>
      </w:r>
      <w:r w:rsidR="00681387" w:rsidRPr="00B73168">
        <w:rPr>
          <w:rFonts w:ascii="Garamond" w:eastAsia="Times New Roman" w:hAnsi="Garamond" w:cs="Times New Roman"/>
          <w:b/>
          <w:bCs/>
          <w:i/>
          <w:iCs/>
          <w:sz w:val="18"/>
          <w:szCs w:val="18"/>
          <w:lang w:eastAsia="it-IT"/>
        </w:rPr>
        <w:t xml:space="preserve"> &lt;&lt;&lt;</w:t>
      </w:r>
      <w:r w:rsidR="00681387" w:rsidRPr="00B73168">
        <w:rPr>
          <w:rFonts w:ascii="Garamond" w:eastAsia="Times New Roman" w:hAnsi="Garamond" w:cs="Times New Roman"/>
          <w:i/>
          <w:iCs/>
          <w:sz w:val="18"/>
          <w:szCs w:val="18"/>
          <w:lang w:eastAsia="it-IT"/>
        </w:rPr>
        <w:t>La stazione appaltante verifica che nei contratti sottoscritti con i subappaltatori e i subcontraenti della filiera delle imprese a qualsiasi titolo interessate ai lavori, ai servizi e alle forniture di cui al comma 1 sia inserita, a pena di nullità assoluta, un'apposita clausola con la quale ciascuno di essi assume gli obblighi di tracciabilità dei flussi finanziari di cui alla presente legge.&gt;&gt;</w:t>
      </w:r>
    </w:p>
    <w:p w:rsidR="00681387" w:rsidRPr="00B73168" w:rsidRDefault="00681387" w:rsidP="00B73168">
      <w:pPr>
        <w:spacing w:before="120" w:after="12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Nell'affidamento in qualunque forma dei subcontratti, a qualsiasi livello della filiera, il rispetto della norma è attuato con la trascrizione della presente NORMA DI CONTRATTO T&amp;T nel subcontratto o con il suo richiamo esplicito da parte dell'Affidatario.</w:t>
      </w:r>
    </w:p>
    <w:p w:rsidR="00681387" w:rsidRPr="00B73168" w:rsidRDefault="00681387" w:rsidP="00B73168">
      <w:pPr>
        <w:spacing w:before="120" w:after="120" w:line="240" w:lineRule="auto"/>
        <w:ind w:firstLine="284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L'Amministrazione aggiudicatrice si riserva, in modi e tempi autonomamente definiti, di esercitare le verifiche previste sia nei subcontratti affidati dall'Aggiudicatario che in quelli affidati da altri operatori economici a qualsiasi livello della filiera dei subcontratti.</w:t>
      </w:r>
    </w:p>
    <w:p w:rsidR="00681387" w:rsidRPr="00B73168" w:rsidRDefault="00681387" w:rsidP="00B73168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  <w:t>Informazioni da trasmettere alla stazione appaltante</w:t>
      </w:r>
    </w:p>
    <w:p w:rsidR="00681387" w:rsidRPr="00B73168" w:rsidRDefault="00681387" w:rsidP="00CA527E">
      <w:pPr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Times New Roman"/>
          <w:b/>
          <w:b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Gli obblighi informativi di cui alle disposizioni normative sopracitate, ferma restando la trasmissione alla Stazione appaltante della documentazione relativa ai subcontratti per finalità autorizzative o di mera comunicazione, sono assolti dai soggetti ivi indicati mediante inserimento dei dati richiesti nella scheda T&amp;T riferita al relativo contratto di fornitura sulla Piattaforma regionale on line “T&amp;T e adempimenti per l’anagrafica degli esecutori” accessibile all’indirizzo: </w:t>
      </w:r>
      <w:hyperlink r:id="rId7" w:history="1">
        <w:r w:rsidRPr="00B73168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it-IT"/>
          </w:rPr>
          <w:t>https://www.traspa</w:t>
        </w:r>
        <w:bookmarkStart w:id="1" w:name="_Hlt109728874"/>
        <w:bookmarkStart w:id="2" w:name="_Hlt109728875"/>
        <w:r w:rsidRPr="00B73168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it-IT"/>
          </w:rPr>
          <w:t>r</w:t>
        </w:r>
        <w:bookmarkEnd w:id="1"/>
        <w:bookmarkEnd w:id="2"/>
        <w:r w:rsidRPr="00B73168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it-IT"/>
          </w:rPr>
          <w:t>enza-subcontratti.servizirl.it</w:t>
        </w:r>
      </w:hyperlink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 .</w:t>
      </w:r>
    </w:p>
    <w:p w:rsidR="00681387" w:rsidRPr="00B73168" w:rsidRDefault="00681387" w:rsidP="00CA2C1F">
      <w:pPr>
        <w:spacing w:after="12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Il soggetto che sarà abilitato a operare sulla istituita piattaforma T&amp;T è l’aggiudicatario (tramite il referente indicato). </w:t>
      </w:r>
    </w:p>
    <w:p w:rsidR="00681387" w:rsidRPr="00B73168" w:rsidRDefault="00681387" w:rsidP="00B731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sz w:val="18"/>
          <w:szCs w:val="18"/>
          <w:lang w:eastAsia="it-IT"/>
        </w:rPr>
        <w:t>Tempi e Modalità di trasmissione</w:t>
      </w:r>
    </w:p>
    <w:p w:rsidR="00681387" w:rsidRPr="00B73168" w:rsidRDefault="00681387" w:rsidP="00B7316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sz w:val="18"/>
          <w:szCs w:val="18"/>
          <w:lang w:eastAsia="it-IT"/>
        </w:rPr>
        <w:t>La compilazione della Scheda T&amp;T, a cura dell’aggiudicatario, dovrà avvenire contestualmente con la trasmissione alla Amministrazione della documentazione relativa ai subcontratti (per finalità autorizzativa o di mera comunicazione).</w:t>
      </w:r>
    </w:p>
    <w:p w:rsidR="00681387" w:rsidRPr="00B73168" w:rsidRDefault="00681387" w:rsidP="00B73168">
      <w:p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sz w:val="10"/>
          <w:szCs w:val="10"/>
          <w:lang w:eastAsia="it-IT"/>
        </w:rPr>
      </w:pPr>
    </w:p>
    <w:p w:rsidR="00681387" w:rsidRPr="00B73168" w:rsidRDefault="00681387" w:rsidP="00B731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/>
          <w:sz w:val="18"/>
          <w:szCs w:val="18"/>
          <w:lang w:eastAsia="it-IT"/>
        </w:rPr>
        <w:t>Sanzioni</w:t>
      </w:r>
    </w:p>
    <w:p w:rsidR="00681387" w:rsidRPr="00B73168" w:rsidRDefault="00681387" w:rsidP="00CA527E">
      <w:pPr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Times New Roman"/>
          <w:b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A norma di quanto previsto dall’art. 3 comma 9 della Legge n. 136/10, la mancata previsione – all’interno di qualsiasi tipologia di Subcontratto – della clausola con la quale Affidante e Affidatario assumono gli obblighi della tracciabilità dei flussi finanziari rende il subcontratto nullo.</w:t>
      </w:r>
    </w:p>
    <w:p w:rsidR="00681387" w:rsidRPr="00B73168" w:rsidRDefault="00681387" w:rsidP="00CA527E">
      <w:pPr>
        <w:spacing w:after="120" w:line="240" w:lineRule="auto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La mancata compilazione della SCHEDA T&amp;T da parte dell’Aggiudicatario è causa ostativa all’ingresso in cantiere del Subcontraente.</w:t>
      </w:r>
    </w:p>
    <w:p w:rsidR="00681387" w:rsidRPr="00B73168" w:rsidRDefault="00681387" w:rsidP="00CA527E">
      <w:pPr>
        <w:spacing w:after="120" w:line="240" w:lineRule="auto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u w:val="single"/>
          <w:lang w:eastAsia="it-IT"/>
        </w:rPr>
        <w:t>È equiparato al caso dell’omessa trasmissione della SCHEDA T&amp;T quello della trasmissione all’ Amministrazione di informazioni non corrispondenti al vero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. In tal caso l’Amministrazione si riserva di darne notizia alle autorità competenti.</w:t>
      </w:r>
    </w:p>
    <w:p w:rsidR="00681387" w:rsidRPr="00B73168" w:rsidRDefault="00681387" w:rsidP="00CA527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Nel caso l'Amministrazione accerti che la 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u w:val="single"/>
          <w:lang w:eastAsia="it-IT"/>
        </w:rPr>
        <w:t>suddetta clausola non sia stata esplicitamente richiamata o trascritta in un subcontratto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, ferma restando, ai sensi del comma 9, articolo 3 della legge 136/2010, la sua nullità, l'Affidante del subcontratto è: </w:t>
      </w:r>
    </w:p>
    <w:p w:rsidR="00681387" w:rsidRPr="00B73168" w:rsidRDefault="00681387" w:rsidP="00CA527E">
      <w:pPr>
        <w:numPr>
          <w:ilvl w:val="0"/>
          <w:numId w:val="4"/>
        </w:numPr>
        <w:spacing w:after="120" w:line="240" w:lineRule="auto"/>
        <w:ind w:left="709" w:hanging="283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sottoposto al pagamento di una penale pari al 10% del valore del subcontratto affidato, e comunque non inferiore a 500 euro. </w:t>
      </w:r>
    </w:p>
    <w:p w:rsidR="00681387" w:rsidRPr="00B73168" w:rsidRDefault="00681387" w:rsidP="00CA527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Nel caso in cui l’Amministrazione accerti un 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u w:val="single"/>
          <w:lang w:eastAsia="it-IT"/>
        </w:rPr>
        <w:t>ritardato invio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 della SCHEDA T&amp;T</w:t>
      </w:r>
      <w:r w:rsidR="00E3202D"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 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l'Affidante e l'Affidatario saranno ciascuno tenuti a: </w:t>
      </w:r>
    </w:p>
    <w:p w:rsidR="00681387" w:rsidRPr="00B73168" w:rsidRDefault="00681387" w:rsidP="00CA527E">
      <w:pPr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pagare una penale pari all’ 1 per mille del valore del subcontratto per ogni giorno di ritardo, fino alla concorrenza del 5% del subcontratto stesso. </w:t>
      </w:r>
    </w:p>
    <w:p w:rsidR="00681387" w:rsidRPr="00B73168" w:rsidRDefault="00681387" w:rsidP="00CA527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 xml:space="preserve">Nel caso in cui l’Amministrazione aggiudicatrice accerti che la SCHEDA T&amp;T 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u w:val="single"/>
          <w:lang w:eastAsia="it-IT"/>
        </w:rPr>
        <w:t>contiene informazioni che non corrispondono al vero</w:t>
      </w: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, oltre alla trasmissione della notizia alle competenti autorità, si riserva il diritto di applicare nei confronti dell'Affidante e dell'Affidatario:</w:t>
      </w:r>
    </w:p>
    <w:p w:rsidR="00681387" w:rsidRPr="00B73168" w:rsidRDefault="00681387" w:rsidP="00B73168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B73168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una penale ciascuno, da un minimo del 5% ad un massimo del 10% del valore del subcontratto in relazione alla gravità della non correttezza delle informazioni fornite.</w:t>
      </w:r>
    </w:p>
    <w:p w:rsidR="004F6800" w:rsidRPr="004F6800" w:rsidRDefault="004F6800" w:rsidP="004F6800">
      <w:pPr>
        <w:spacing w:before="120" w:after="120" w:line="240" w:lineRule="auto"/>
        <w:jc w:val="center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4F6800"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  <w:t>***</w:t>
      </w:r>
    </w:p>
    <w:p w:rsidR="004F6800" w:rsidRPr="004F6800" w:rsidRDefault="004F6800" w:rsidP="004F6800">
      <w:pPr>
        <w:spacing w:before="120" w:after="120" w:line="240" w:lineRule="auto"/>
        <w:jc w:val="both"/>
        <w:rPr>
          <w:rFonts w:ascii="Garamond" w:eastAsia="Times New Roman" w:hAnsi="Garamond" w:cs="Times New Roman"/>
          <w:bCs/>
          <w:iCs/>
          <w:sz w:val="18"/>
          <w:szCs w:val="18"/>
          <w:lang w:eastAsia="it-IT"/>
        </w:rPr>
      </w:pPr>
      <w:r w:rsidRPr="004F6800">
        <w:rPr>
          <w:rFonts w:ascii="Garamond" w:eastAsia="Cambria" w:hAnsi="Garamond" w:cs="Times New Roman"/>
          <w:sz w:val="18"/>
          <w:szCs w:val="18"/>
        </w:rPr>
        <w:t xml:space="preserve">Per maggiori informazioni l’ASST Papa Giovanni XXIII rinvia l’operatore economico al proprio sito istituzionale al seguente link: </w:t>
      </w:r>
      <w:hyperlink r:id="rId8" w:tgtFrame="_blank" w:history="1">
        <w:r w:rsidRPr="004F6800">
          <w:rPr>
            <w:rFonts w:ascii="Garamond" w:eastAsia="Cambria" w:hAnsi="Garamond" w:cs="Times New Roman"/>
            <w:color w:val="0000FF"/>
            <w:sz w:val="18"/>
            <w:szCs w:val="18"/>
            <w:u w:val="single"/>
          </w:rPr>
          <w:t>https://www.asst-pg23.it/amministrazione-trasparente/bandi-gara-contratti</w:t>
        </w:r>
      </w:hyperlink>
      <w:r w:rsidRPr="004F6800">
        <w:rPr>
          <w:rFonts w:ascii="Garamond" w:eastAsia="Cambria" w:hAnsi="Garamond" w:cs="Times New Roman"/>
          <w:sz w:val="18"/>
          <w:szCs w:val="18"/>
        </w:rPr>
        <w:tab/>
      </w:r>
    </w:p>
    <w:sectPr w:rsidR="004F6800" w:rsidRPr="004F6800" w:rsidSect="00C938F7">
      <w:headerReference w:type="default" r:id="rId9"/>
      <w:footerReference w:type="default" r:id="rId10"/>
      <w:pgSz w:w="11906" w:h="16838"/>
      <w:pgMar w:top="567" w:right="849" w:bottom="1134" w:left="993" w:header="709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B86" w:rsidRDefault="006C5B86" w:rsidP="00427BED">
      <w:pPr>
        <w:spacing w:after="0" w:line="240" w:lineRule="auto"/>
      </w:pPr>
      <w:r>
        <w:separator/>
      </w:r>
    </w:p>
  </w:endnote>
  <w:endnote w:type="continuationSeparator" w:id="0">
    <w:p w:rsidR="006C5B86" w:rsidRDefault="006C5B86" w:rsidP="0042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ho Gotich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20A" w:rsidRPr="00632542" w:rsidRDefault="00AA720A" w:rsidP="00C938F7">
    <w:pPr>
      <w:pStyle w:val="Pidipagina"/>
      <w:tabs>
        <w:tab w:val="clear" w:pos="9638"/>
        <w:tab w:val="right" w:pos="9923"/>
      </w:tabs>
      <w:ind w:left="-426" w:right="-285"/>
      <w:jc w:val="center"/>
      <w:rPr>
        <w:rFonts w:ascii="Garamond" w:hAnsi="Garamond"/>
        <w:b/>
        <w:sz w:val="20"/>
        <w:szCs w:val="20"/>
      </w:rPr>
    </w:pPr>
  </w:p>
  <w:p w:rsidR="00C7186E" w:rsidRPr="00C7186E" w:rsidRDefault="00AA720A" w:rsidP="003760CC">
    <w:pPr>
      <w:pStyle w:val="Pidipagina"/>
      <w:jc w:val="center"/>
      <w:rPr>
        <w:rFonts w:ascii="Helvetica" w:eastAsia="Cambria" w:hAnsi="Helvetica" w:cs="Times New Roman"/>
        <w:sz w:val="20"/>
        <w:szCs w:val="20"/>
      </w:rPr>
    </w:pPr>
    <w:r>
      <w:rPr>
        <w:rFonts w:ascii="Garamond" w:hAnsi="Garamond"/>
        <w:b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A1CE" wp14:editId="1BB92199">
              <wp:simplePos x="0" y="0"/>
              <wp:positionH relativeFrom="column">
                <wp:posOffset>13335</wp:posOffset>
              </wp:positionH>
              <wp:positionV relativeFrom="paragraph">
                <wp:posOffset>52070</wp:posOffset>
              </wp:positionV>
              <wp:extent cx="6105525" cy="635"/>
              <wp:effectExtent l="0" t="0" r="0" b="0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8CBF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1.05pt;margin-top:4.1pt;width:48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" strokecolor="#d8d8d8" strokeweight="1pt">
              <v:shadow color="#7f7f7f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B86" w:rsidRDefault="006C5B86" w:rsidP="00427BED">
      <w:pPr>
        <w:spacing w:after="0" w:line="240" w:lineRule="auto"/>
      </w:pPr>
      <w:r>
        <w:separator/>
      </w:r>
    </w:p>
  </w:footnote>
  <w:footnote w:type="continuationSeparator" w:id="0">
    <w:p w:rsidR="006C5B86" w:rsidRDefault="006C5B86" w:rsidP="0042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20A" w:rsidRPr="00E01AA3" w:rsidRDefault="00AA720A" w:rsidP="000C0510">
    <w:pPr>
      <w:pStyle w:val="Intestazione"/>
      <w:rPr>
        <w:sz w:val="16"/>
        <w:szCs w:val="16"/>
      </w:rPr>
    </w:pPr>
  </w:p>
  <w:p w:rsidR="00AA720A" w:rsidRDefault="003760CC">
    <w:pPr>
      <w:pStyle w:val="Intestazione"/>
      <w:rPr>
        <w:i/>
        <w:iCs/>
      </w:rPr>
    </w:pPr>
    <w:r>
      <w:rPr>
        <w:i/>
        <w:iCs/>
      </w:rPr>
      <w:t xml:space="preserve">Intestazione </w:t>
    </w:r>
    <w:r w:rsidRPr="003760CC">
      <w:rPr>
        <w:i/>
        <w:iCs/>
      </w:rPr>
      <w:t>Operatore economico</w:t>
    </w:r>
  </w:p>
  <w:p w:rsidR="00147D23" w:rsidRDefault="00147D23">
    <w:pPr>
      <w:pStyle w:val="Intestazione"/>
      <w:rPr>
        <w:i/>
        <w:iCs/>
      </w:rPr>
    </w:pPr>
  </w:p>
  <w:p w:rsidR="00DB59C1" w:rsidRPr="00652C71" w:rsidRDefault="00DB59C1" w:rsidP="00652C71">
    <w:pPr>
      <w:pStyle w:val="Intestazione"/>
      <w:spacing w:line="288" w:lineRule="auto"/>
      <w:rPr>
        <w:rFonts w:ascii="Soho Gotich" w:hAnsi="Soho Gotich" w:cs="Helvetic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00F7"/>
    <w:multiLevelType w:val="multilevel"/>
    <w:tmpl w:val="84B20E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6AE4CD6"/>
    <w:multiLevelType w:val="multilevel"/>
    <w:tmpl w:val="EC503BA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DFC1B57"/>
    <w:multiLevelType w:val="hybridMultilevel"/>
    <w:tmpl w:val="2E70C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533F"/>
    <w:multiLevelType w:val="hybridMultilevel"/>
    <w:tmpl w:val="CB3A1A32"/>
    <w:lvl w:ilvl="0" w:tplc="186C42C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A25EE"/>
    <w:multiLevelType w:val="multilevel"/>
    <w:tmpl w:val="855A52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7F5C42D6"/>
    <w:multiLevelType w:val="hybridMultilevel"/>
    <w:tmpl w:val="9F9EF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ED"/>
    <w:rsid w:val="0002223B"/>
    <w:rsid w:val="00032B5F"/>
    <w:rsid w:val="000C0510"/>
    <w:rsid w:val="000F7555"/>
    <w:rsid w:val="00147D23"/>
    <w:rsid w:val="001C2AFE"/>
    <w:rsid w:val="00262682"/>
    <w:rsid w:val="0028294B"/>
    <w:rsid w:val="002E4F33"/>
    <w:rsid w:val="00326A9D"/>
    <w:rsid w:val="00336332"/>
    <w:rsid w:val="00353167"/>
    <w:rsid w:val="003760CC"/>
    <w:rsid w:val="003908C0"/>
    <w:rsid w:val="003B36E5"/>
    <w:rsid w:val="00424C4E"/>
    <w:rsid w:val="00427BED"/>
    <w:rsid w:val="00444886"/>
    <w:rsid w:val="004860C4"/>
    <w:rsid w:val="004F6800"/>
    <w:rsid w:val="005B1290"/>
    <w:rsid w:val="00652C71"/>
    <w:rsid w:val="00681387"/>
    <w:rsid w:val="00694A7B"/>
    <w:rsid w:val="006C5B86"/>
    <w:rsid w:val="006C7A19"/>
    <w:rsid w:val="006D2266"/>
    <w:rsid w:val="006D3ABF"/>
    <w:rsid w:val="0075134F"/>
    <w:rsid w:val="007635A6"/>
    <w:rsid w:val="007E6FD0"/>
    <w:rsid w:val="00826ACC"/>
    <w:rsid w:val="00860B8E"/>
    <w:rsid w:val="008A5B57"/>
    <w:rsid w:val="008C3009"/>
    <w:rsid w:val="00924579"/>
    <w:rsid w:val="00946AFC"/>
    <w:rsid w:val="00A83D1F"/>
    <w:rsid w:val="00AA720A"/>
    <w:rsid w:val="00B73168"/>
    <w:rsid w:val="00B7376D"/>
    <w:rsid w:val="00BF4212"/>
    <w:rsid w:val="00C7186E"/>
    <w:rsid w:val="00C9100F"/>
    <w:rsid w:val="00C938F7"/>
    <w:rsid w:val="00C93B2A"/>
    <w:rsid w:val="00CA2C1F"/>
    <w:rsid w:val="00CA527E"/>
    <w:rsid w:val="00CC0F79"/>
    <w:rsid w:val="00D71F7A"/>
    <w:rsid w:val="00D7554D"/>
    <w:rsid w:val="00D819EF"/>
    <w:rsid w:val="00D95DF7"/>
    <w:rsid w:val="00DA671C"/>
    <w:rsid w:val="00DB59C1"/>
    <w:rsid w:val="00DE0622"/>
    <w:rsid w:val="00E01AA3"/>
    <w:rsid w:val="00E139B1"/>
    <w:rsid w:val="00E3202D"/>
    <w:rsid w:val="00E52596"/>
    <w:rsid w:val="00EC4A90"/>
    <w:rsid w:val="00ED2F1A"/>
    <w:rsid w:val="00EF72B9"/>
    <w:rsid w:val="00F24A5B"/>
    <w:rsid w:val="00F46ACC"/>
    <w:rsid w:val="00F65AC0"/>
    <w:rsid w:val="00F775D2"/>
    <w:rsid w:val="00F96D51"/>
    <w:rsid w:val="00F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6C2215-726A-4335-8351-FC59C671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2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BED"/>
  </w:style>
  <w:style w:type="paragraph" w:styleId="Pidipagina">
    <w:name w:val="footer"/>
    <w:basedOn w:val="Normale"/>
    <w:link w:val="PidipaginaCarattere"/>
    <w:unhideWhenUsed/>
    <w:rsid w:val="0042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t-pg23.it/amministrazione-trasparente/bandi-gara-contrat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sparenza-subcontratti.servizir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 FEDERICA</dc:creator>
  <cp:lastModifiedBy>DANIELA ALGERI</cp:lastModifiedBy>
  <cp:revision>6</cp:revision>
  <cp:lastPrinted>2017-03-27T11:23:00Z</cp:lastPrinted>
  <dcterms:created xsi:type="dcterms:W3CDTF">2023-03-15T17:12:00Z</dcterms:created>
  <dcterms:modified xsi:type="dcterms:W3CDTF">2023-04-28T14:36:00Z</dcterms:modified>
</cp:coreProperties>
</file>